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Workplace Investigation Checklist: Phases, Clock and Disruptions</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investigation.professionaldrafter.com/investigation-planning/workplace-investigation-checklist/</w:t>
      </w:r>
    </w:p>
    <w:p/>
    <w:p>
      <w:pPr>
        <w:pStyle w:val="Heading2"/>
      </w:pPr>
      <w:r>
        <w:t xml:space="preserve">Phase 1 — Intake, triage and the start of the clock</w:t>
      </w:r>
    </w:p>
    <w:p>
      <w:pPr>
        <w:spacing w:after="120"/>
      </w:pPr>
      <w:r>
        <w:t xml:space="preserve">Date organization first had notice: [Earliest date any manager or HR contact knew — asked at intake, not assumed]</w:t>
      </w:r>
    </w:p>
    <w:p>
      <w:pPr>
        <w:spacing w:after="120"/>
      </w:pPr>
      <w:r>
        <w:t xml:space="preserve">How first notice was established: [Who was asked, what they said, date of the check]</w:t>
      </w:r>
    </w:p>
    <w:p>
      <w:pPr>
        <w:spacing w:after="120"/>
      </w:pPr>
      <w:r>
        <w:t xml:space="preserve">Date written complaint received: [ ______________________ ]</w:t>
      </w:r>
    </w:p>
    <w:p>
      <w:pPr>
        <w:spacing w:after="120"/>
      </w:pPr>
      <w:r>
        <w:t xml:space="preserve">Received by: [Name, title, route: email / hotline / verbal to manager]</w:t>
      </w:r>
    </w:p>
    <w:p>
      <w:pPr>
        <w:spacing w:after="120"/>
      </w:pPr>
      <w:r>
        <w:t xml:space="preserve">Triage decision and date: [Formal investigation / informal resolution / no action — with reason]</w:t>
      </w:r>
    </w:p>
    <w:p>
      <w:pPr>
        <w:spacing w:after="120"/>
      </w:pPr>
      <w:r>
        <w:t xml:space="preserve">Date acknowledgment sent to complainant: [ ______________________ ]</w:t>
      </w:r>
    </w:p>
    <w:p>
      <w:pPr>
        <w:spacing w:after="120"/>
      </w:pPr>
      <w:r>
        <w:t xml:space="preserve">Mandatory-reporting or regulatory notification triggered?: [Y/N, to whom, by when]</w:t>
      </w:r>
    </w:p>
    <w:p>
      <w:pPr>
        <w:spacing w:after="120"/>
      </w:pPr>
      <w:r>
        <w:t xml:space="preserve">[Date and route of first notice, who received it, the triage decision, the reason for it, and the date the complainant was acknowledged]</w:t>
      </w:r>
    </w:p>
    <w:p>
      <w:pPr>
        <w:pStyle w:val="ListParagraph"/>
        <w:numPr>
          <w:ilvl w:val="0"/>
          <w:numId w:val="1"/>
        </w:numPr>
        <w:spacing w:after="80"/>
      </w:pPr>
      <w:r>
        <w:t xml:space="preserve">Complaint reduced to writing and confirmed back to the complainant as accurate, if it was made verbally.</w:t>
      </w:r>
    </w:p>
    <w:p>
      <w:pPr>
        <w:pStyle w:val="ListParagraph"/>
        <w:numPr>
          <w:ilvl w:val="0"/>
          <w:numId w:val="1"/>
        </w:numPr>
        <w:spacing w:after="80"/>
      </w:pPr>
      <w:r>
        <w:t xml:space="preserve">Allegations itemized and numbered at intake, before anything else happens.</w:t>
      </w:r>
    </w:p>
    <w:p>
      <w:pPr>
        <w:pStyle w:val="ListParagraph"/>
        <w:numPr>
          <w:ilvl w:val="0"/>
          <w:numId w:val="1"/>
        </w:numPr>
        <w:spacing w:after="80"/>
      </w:pPr>
      <w:r>
        <w:t xml:space="preserve">Severity and risk assessed: is anyone still exposed to the conduct today?</w:t>
      </w:r>
    </w:p>
    <w:p>
      <w:pPr>
        <w:pStyle w:val="ListParagraph"/>
        <w:numPr>
          <w:ilvl w:val="0"/>
          <w:numId w:val="1"/>
        </w:numPr>
        <w:spacing w:after="80"/>
      </w:pPr>
      <w:r>
        <w:t xml:space="preserve">Conflict flag raised if the complaint implicates HR, the investigator's reporting line, or an executive.</w:t>
      </w:r>
    </w:p>
    <w:p>
      <w:pPr>
        <w:pStyle w:val="ListParagraph"/>
        <w:numPr>
          <w:ilvl w:val="0"/>
          <w:numId w:val="1"/>
        </w:numPr>
        <w:spacing w:after="80"/>
      </w:pPr>
      <w:r>
        <w:t xml:space="preserve">Acknowledgment issued within a defined internal target and the send date recorded.</w:t>
      </w:r>
    </w:p>
    <w:p/>
    <w:p>
      <w:pPr>
        <w:pStyle w:val="Heading2"/>
      </w:pPr>
      <w:r>
        <w:t xml:space="preserve">Phase 2 — Preservation, interim measures and immediate risk</w:t>
      </w:r>
    </w:p>
    <w:p>
      <w:pPr>
        <w:spacing w:after="120"/>
      </w:pPr>
      <w:r>
        <w:t xml:space="preserve">Litigation / preservation hold issued: [Date, custodians notified, systems covered]</w:t>
      </w:r>
    </w:p>
    <w:p>
      <w:pPr>
        <w:spacing w:after="120"/>
      </w:pPr>
      <w:r>
        <w:t xml:space="preserve">Short-retention items: [Item, system retention period, date requested, date received — one row each]</w:t>
      </w:r>
    </w:p>
    <w:p>
      <w:pPr>
        <w:spacing w:after="120"/>
      </w:pPr>
      <w:r>
        <w:t xml:space="preserve">Interim measures decided by: [Name and title of decision-maker — not the investigator]</w:t>
      </w:r>
    </w:p>
    <w:p>
      <w:pPr>
        <w:spacing w:after="120"/>
      </w:pPr>
      <w:r>
        <w:t xml:space="preserve">Recipient of any transferred function: [Name, and the conflict check on that person with its conclusion]</w:t>
      </w:r>
    </w:p>
    <w:p>
      <w:pPr>
        <w:spacing w:after="120"/>
      </w:pPr>
      <w:r>
        <w:t xml:space="preserve">Interim measures review date: [And the scope of the review: respondent's restriction, and the complainant's and witnesses' conditions]</w:t>
      </w:r>
    </w:p>
    <w:p>
      <w:pPr>
        <w:spacing w:after="120"/>
      </w:pPr>
      <w:r>
        <w:t xml:space="preserve">[Preservation holds issued with dates and custodians; interim measures proposed, who decided, who receives any transferred function, and the review date]</w:t>
      </w:r>
    </w:p>
    <w:p>
      <w:pPr>
        <w:pStyle w:val="ListParagraph"/>
        <w:numPr>
          <w:ilvl w:val="0"/>
          <w:numId w:val="1"/>
        </w:numPr>
        <w:spacing w:after="80"/>
      </w:pPr>
      <w:r>
        <w:t xml:space="preserve">Automatic deletion suspended on the relevant mailboxes and channels, with written confirmation from IT.</w:t>
      </w:r>
    </w:p>
    <w:p>
      <w:pPr>
        <w:pStyle w:val="ListParagraph"/>
        <w:numPr>
          <w:ilvl w:val="0"/>
          <w:numId w:val="1"/>
        </w:numPr>
        <w:spacing w:after="80"/>
      </w:pPr>
      <w:r>
        <w:t xml:space="preserve">Leaver processes flagged: offboarding deprovisions mailboxes and devices on a schedule that will destroy evidence without asking anyone.</w:t>
      </w:r>
    </w:p>
    <w:p>
      <w:pPr>
        <w:pStyle w:val="ListParagraph"/>
        <w:numPr>
          <w:ilvl w:val="0"/>
          <w:numId w:val="1"/>
        </w:numPr>
        <w:spacing w:after="80"/>
      </w:pPr>
      <w:r>
        <w:t xml:space="preserve">Non-retaliation reminder issued in writing to the respondent and to anyone with authority over the complainant, with the date recorded.</w:t>
      </w:r>
    </w:p>
    <w:p>
      <w:pPr>
        <w:pStyle w:val="ListParagraph"/>
        <w:numPr>
          <w:ilvl w:val="0"/>
          <w:numId w:val="1"/>
        </w:numPr>
        <w:spacing w:after="80"/>
      </w:pPr>
      <w:r>
        <w:t xml:space="preserve">Safety escalation considered separately from the investigation where there is a threat of violence.</w:t>
      </w:r>
    </w:p>
    <w:p/>
    <w:p>
      <w:pPr>
        <w:pStyle w:val="Heading2"/>
      </w:pPr>
      <w:r>
        <w:t xml:space="preserve">Phase 3 — Investigator selection and separation of roles</w:t>
      </w:r>
    </w:p>
    <w:p>
      <w:pPr>
        <w:spacing w:after="120"/>
      </w:pPr>
      <w:r>
        <w:t xml:space="preserve">Investigator: [Name, title, internal or external]</w:t>
      </w:r>
    </w:p>
    <w:p>
      <w:pPr>
        <w:spacing w:after="120"/>
      </w:pPr>
      <w:r>
        <w:t xml:space="preserve">Decision-maker on outcome: [Must be a different person]</w:t>
      </w:r>
    </w:p>
    <w:p>
      <w:pPr>
        <w:spacing w:after="120"/>
      </w:pPr>
      <w:r>
        <w:t xml:space="preserve">Conflicts check completed: [Date and stated conclusion, not a blank]</w:t>
      </w:r>
    </w:p>
    <w:p>
      <w:pPr>
        <w:spacing w:after="120"/>
      </w:pPr>
      <w:r>
        <w:t xml:space="preserve">Capacity confirmed: [Date the investigator can actually start]</w:t>
      </w:r>
    </w:p>
    <w:p>
      <w:pPr>
        <w:spacing w:after="120"/>
      </w:pPr>
      <w:r>
        <w:t xml:space="preserve">Privilege position: [If intended: engaged through counsel, purpose documented, date — before the first interview]</w:t>
      </w:r>
    </w:p>
    <w:p>
      <w:pPr>
        <w:spacing w:after="120"/>
      </w:pPr>
      <w:r>
        <w:t xml:space="preserve">[Investigator name, internal or external, the conflicts considered, the conclusion reached, and who will decide the outcome]</w:t>
      </w:r>
    </w:p>
    <w:p>
      <w:pPr>
        <w:pStyle w:val="ListParagraph"/>
        <w:numPr>
          <w:ilvl w:val="0"/>
          <w:numId w:val="1"/>
        </w:numPr>
        <w:spacing w:after="80"/>
      </w:pPr>
      <w:r>
        <w:t xml:space="preserve">Reporting lines between investigator and both parties checked, including dotted lines.</w:t>
      </w:r>
    </w:p>
    <w:p>
      <w:pPr>
        <w:pStyle w:val="ListParagraph"/>
        <w:numPr>
          <w:ilvl w:val="0"/>
          <w:numId w:val="1"/>
        </w:numPr>
        <w:spacing w:after="80"/>
      </w:pPr>
      <w:r>
        <w:t xml:space="preserve">Prior involvement in an earlier complaint by or against either party disclosed.</w:t>
      </w:r>
    </w:p>
    <w:p>
      <w:pPr>
        <w:pStyle w:val="ListParagraph"/>
        <w:numPr>
          <w:ilvl w:val="0"/>
          <w:numId w:val="1"/>
        </w:numPr>
        <w:spacing w:after="80"/>
      </w:pPr>
      <w:r>
        <w:t xml:space="preserve">Where the investigator is external, note which phases they own — an external file usually covers Phases 3 to 9 only, and the rest stays with the employer.</w:t>
      </w:r>
    </w:p>
    <w:p>
      <w:pPr>
        <w:pStyle w:val="ListParagraph"/>
        <w:numPr>
          <w:ilvl w:val="0"/>
          <w:numId w:val="1"/>
        </w:numPr>
        <w:spacing w:after="80"/>
      </w:pPr>
      <w:r>
        <w:t xml:space="preserve">See the investigation plan for how the impartiality conclusion is written up.</w:t>
      </w:r>
    </w:p>
    <w:p/>
    <w:p>
      <w:pPr>
        <w:pStyle w:val="Heading2"/>
      </w:pPr>
      <w:r>
        <w:t xml:space="preserve">Phase 4 — Plan and scope control</w:t>
      </w:r>
    </w:p>
    <w:p>
      <w:pPr>
        <w:spacing w:after="120"/>
      </w:pPr>
      <w:r>
        <w:t xml:space="preserve">Plan written on: [Before the first interview]</w:t>
      </w:r>
    </w:p>
    <w:p>
      <w:pPr>
        <w:spacing w:after="120"/>
      </w:pPr>
      <w:r>
        <w:t xml:space="preserve">Scope agreed with: [Commissioning party, in writing]</w:t>
      </w:r>
    </w:p>
    <w:p>
      <w:pPr>
        <w:spacing w:after="120"/>
      </w:pPr>
      <w:r>
        <w:t xml:space="preserve">Amendments: [Date requested, date approved, what changed, why, who approved]</w:t>
      </w:r>
    </w:p>
    <w:p>
      <w:pPr>
        <w:spacing w:after="120"/>
      </w:pPr>
      <w:r>
        <w:t xml:space="preserve">Allegation numbering after amendment: [Show the mapping — never silently renumber]</w:t>
      </w:r>
    </w:p>
    <w:p>
      <w:pPr>
        <w:spacing w:after="120"/>
      </w:pPr>
      <w:r>
        <w:t xml:space="preserve">[Date the plan was written, the in-scope and out-of-scope lists, the interview sequence, and every dated amendment with its approval]</w:t>
      </w:r>
    </w:p>
    <w:p>
      <w:pPr>
        <w:pStyle w:val="ListParagraph"/>
        <w:numPr>
          <w:ilvl w:val="0"/>
          <w:numId w:val="1"/>
        </w:numPr>
        <w:spacing w:after="80"/>
      </w:pPr>
      <w:r>
        <w:t xml:space="preserve">Every allegation numbered and carried into an allegation matrix so each one is tracked to a finding.</w:t>
      </w:r>
    </w:p>
    <w:p>
      <w:pPr>
        <w:pStyle w:val="ListParagraph"/>
        <w:numPr>
          <w:ilvl w:val="0"/>
          <w:numId w:val="1"/>
        </w:numPr>
        <w:spacing w:after="80"/>
      </w:pPr>
      <w:r>
        <w:t xml:space="preserve">Interview order set, with the reason recorded for any departure.</w:t>
      </w:r>
    </w:p>
    <w:p>
      <w:pPr>
        <w:pStyle w:val="ListParagraph"/>
        <w:numPr>
          <w:ilvl w:val="0"/>
          <w:numId w:val="1"/>
        </w:numPr>
        <w:spacing w:after="80"/>
      </w:pPr>
      <w:r>
        <w:t xml:space="preserve">Confidentiality wording drafted narrowly rather than as a blanket instruction. The NLRB's Stericycle standard governs this; it remains operative as of mid-2026, but the Board regained quorum in January 2026 with a changed composition and is expected to revisit it, so confirm the current position before relying on it.</w:t>
      </w:r>
    </w:p>
    <w:p>
      <w:pPr>
        <w:pStyle w:val="ListParagraph"/>
        <w:numPr>
          <w:ilvl w:val="0"/>
          <w:numId w:val="1"/>
        </w:numPr>
        <w:spacing w:after="80"/>
      </w:pPr>
      <w:r>
        <w:t xml:space="preserve">Target date for each phase and a scheduled plan review point.</w:t>
      </w:r>
    </w:p>
    <w:p/>
    <w:p>
      <w:pPr>
        <w:pStyle w:val="Heading2"/>
      </w:pPr>
      <w:r>
        <w:t xml:space="preserve">Phase 5 — Notice to the parties</w:t>
      </w:r>
    </w:p>
    <w:p>
      <w:pPr>
        <w:spacing w:after="120"/>
      </w:pPr>
      <w:r>
        <w:t xml:space="preserve">Date respondent notified: [ ______________________ ]</w:t>
      </w:r>
    </w:p>
    <w:p>
      <w:pPr>
        <w:spacing w:after="120"/>
      </w:pPr>
      <w:r>
        <w:t xml:space="preserve">Level of detail provided: [Substance / full particulars — and the reason for the choice]</w:t>
      </w:r>
    </w:p>
    <w:p>
      <w:pPr>
        <w:spacing w:after="120"/>
      </w:pPr>
      <w:r>
        <w:t xml:space="preserve">Representation position: [Weingarten rights arise in unionized workplaces and must be invoked by the employee; company policy otherwise]</w:t>
      </w:r>
    </w:p>
    <w:p>
      <w:pPr>
        <w:spacing w:after="120"/>
      </w:pPr>
      <w:r>
        <w:t xml:space="preserve">Non-retaliation reminder issued: [Date, to whom, in writing — verbal only does not count]</w:t>
      </w:r>
    </w:p>
    <w:p>
      <w:pPr>
        <w:spacing w:after="120"/>
      </w:pPr>
      <w:r>
        <w:t xml:space="preserve">[What each party was told, when, in what form, and what was expressly withheld with the reason]</w:t>
      </w:r>
    </w:p>
    <w:p>
      <w:pPr>
        <w:pStyle w:val="ListParagraph"/>
        <w:numPr>
          <w:ilvl w:val="0"/>
          <w:numId w:val="1"/>
        </w:numPr>
        <w:spacing w:after="80"/>
      </w:pPr>
      <w:r>
        <w:t xml:space="preserve">Complainant told what the process is, roughly how long, and what will and will not be disclosed at the end.</w:t>
      </w:r>
    </w:p>
    <w:p>
      <w:pPr>
        <w:pStyle w:val="ListParagraph"/>
        <w:numPr>
          <w:ilvl w:val="0"/>
          <w:numId w:val="1"/>
        </w:numPr>
        <w:spacing w:after="80"/>
      </w:pPr>
      <w:r>
        <w:t xml:space="preserve">Support options offered to both parties and the offer recorded.</w:t>
      </w:r>
    </w:p>
    <w:p>
      <w:pPr>
        <w:pStyle w:val="ListParagraph"/>
        <w:numPr>
          <w:ilvl w:val="0"/>
          <w:numId w:val="1"/>
        </w:numPr>
        <w:spacing w:after="80"/>
      </w:pPr>
      <w:r>
        <w:t xml:space="preserve">Witnesses given the confidentiality wording and the non-retaliation reminder at the point of invitation.</w:t>
      </w:r>
    </w:p>
    <w:p>
      <w:pPr>
        <w:pStyle w:val="ListParagraph"/>
        <w:numPr>
          <w:ilvl w:val="0"/>
          <w:numId w:val="1"/>
        </w:numPr>
        <w:spacing w:after="80"/>
      </w:pPr>
      <w:r>
        <w:t xml:space="preserve">Any request for representation logged with the response given.</w:t>
      </w:r>
    </w:p>
    <w:p/>
    <w:p>
      <w:pPr>
        <w:pStyle w:val="Heading2"/>
      </w:pPr>
      <w:r>
        <w:t xml:space="preserve">Phase 6 — Interview coverage</w:t>
      </w:r>
    </w:p>
    <w:p>
      <w:pPr>
        <w:spacing w:after="120"/>
      </w:pPr>
      <w:r>
        <w:t xml:space="preserve">Complainant interview(s): [Date(s), format]</w:t>
      </w:r>
    </w:p>
    <w:p>
      <w:pPr>
        <w:spacing w:after="120"/>
      </w:pPr>
      <w:r>
        <w:t xml:space="preserve">Witness interviews: [Name, role, date, how they came onto the list — one row each]</w:t>
      </w:r>
    </w:p>
    <w:p>
      <w:pPr>
        <w:spacing w:after="120"/>
      </w:pPr>
      <w:r>
        <w:t xml:space="preserve">Managers in the notice chain: [Anyone told about the conduct before the complaint — interviewed on what date]</w:t>
      </w:r>
    </w:p>
    <w:p>
      <w:pPr>
        <w:spacing w:after="120"/>
      </w:pPr>
      <w:r>
        <w:t xml:space="preserve">Respondent interview: [Date, after the allegation set is complete]</w:t>
      </w:r>
    </w:p>
    <w:p>
      <w:pPr>
        <w:spacing w:after="120"/>
      </w:pPr>
      <w:r>
        <w:t xml:space="preserve">Not interviewed: [Name, reason, effect on the analysis]</w:t>
      </w:r>
    </w:p>
    <w:p>
      <w:pPr>
        <w:spacing w:after="120"/>
      </w:pPr>
      <w:r>
        <w:t xml:space="preserve">[Each interview: name, role, date, format, whether notes were confirmed back, and for anyone not interviewed, the reason]</w:t>
      </w:r>
    </w:p>
    <w:p>
      <w:pPr>
        <w:pStyle w:val="ListParagraph"/>
        <w:numPr>
          <w:ilvl w:val="0"/>
          <w:numId w:val="1"/>
        </w:numPr>
        <w:spacing w:after="80"/>
      </w:pPr>
      <w:r>
        <w:t xml:space="preserve">Respondent put to every allegation, including any added by amendment.</w:t>
      </w:r>
    </w:p>
    <w:p>
      <w:pPr>
        <w:pStyle w:val="ListParagraph"/>
        <w:numPr>
          <w:ilvl w:val="0"/>
          <w:numId w:val="1"/>
        </w:numPr>
        <w:spacing w:after="80"/>
      </w:pPr>
      <w:r>
        <w:t xml:space="preserve">Each party given the opportunity to name further witnesses and to respond to contradictory accounts.</w:t>
      </w:r>
    </w:p>
    <w:p>
      <w:pPr>
        <w:pStyle w:val="ListParagraph"/>
        <w:numPr>
          <w:ilvl w:val="0"/>
          <w:numId w:val="1"/>
        </w:numPr>
        <w:spacing w:after="80"/>
      </w:pPr>
      <w:r>
        <w:t xml:space="preserve">Notes confirmed back, or the fact that confirmation was offered and declined recorded.</w:t>
      </w:r>
    </w:p>
    <w:p>
      <w:pPr>
        <w:pStyle w:val="ListParagraph"/>
        <w:numPr>
          <w:ilvl w:val="0"/>
          <w:numId w:val="1"/>
        </w:numPr>
        <w:spacing w:after="80"/>
      </w:pPr>
      <w:r>
        <w:t xml:space="preserve">Follow-up scheduled where a later account contradicts an earlier one — a conflict raised for the first time in the report is a conflict the witness never got to address.</w:t>
      </w:r>
    </w:p>
    <w:p/>
    <w:p>
      <w:pPr>
        <w:pStyle w:val="Heading2"/>
      </w:pPr>
      <w:r>
        <w:t xml:space="preserve">Phase 7 — Documentary and electronic evidence</w:t>
      </w:r>
    </w:p>
    <w:p>
      <w:pPr>
        <w:spacing w:after="120"/>
      </w:pPr>
      <w:r>
        <w:t xml:space="preserve">Prior-complaint check: [Systems and paper files searched, how far back, date searched, result — including a nil result]</w:t>
      </w:r>
    </w:p>
    <w:p>
      <w:pPr>
        <w:spacing w:after="120"/>
      </w:pPr>
      <w:r>
        <w:t xml:space="preserve">Policy version in force at the time of the conduct: [Version, effective date, respondent's signed acknowledgment]</w:t>
      </w:r>
    </w:p>
    <w:p>
      <w:pPr>
        <w:spacing w:after="120"/>
      </w:pPr>
      <w:r>
        <w:t xml:space="preserve">[Evidence obtained with source and date; evidence requested and not obtained with the date of request, the response, and the effect on the analysis]</w:t>
      </w:r>
    </w:p>
    <w:p>
      <w:pPr>
        <w:pStyle w:val="ListParagraph"/>
        <w:numPr>
          <w:ilvl w:val="0"/>
          <w:numId w:val="1"/>
        </w:numPr>
        <w:spacing w:after="80"/>
      </w:pPr>
      <w:r>
        <w:t xml:space="preserve">Each exhibit numbered at the point of collection so the report cites a page rather than 'the emails'.</w:t>
      </w:r>
    </w:p>
    <w:p>
      <w:pPr>
        <w:pStyle w:val="ListParagraph"/>
        <w:numPr>
          <w:ilvl w:val="0"/>
          <w:numId w:val="1"/>
        </w:numPr>
        <w:spacing w:after="80"/>
      </w:pPr>
      <w:r>
        <w:t xml:space="preserve">Personal-device and personal-account material handled with consent and a documented scope limit.</w:t>
      </w:r>
    </w:p>
    <w:p>
      <w:pPr>
        <w:pStyle w:val="ListParagraph"/>
        <w:numPr>
          <w:ilvl w:val="0"/>
          <w:numId w:val="1"/>
        </w:numPr>
        <w:spacing w:after="80"/>
      </w:pPr>
      <w:r>
        <w:t xml:space="preserve">Chain of custody noted for anything collected from a device or a shared drive.</w:t>
      </w:r>
    </w:p>
    <w:p>
      <w:pPr>
        <w:pStyle w:val="ListParagraph"/>
        <w:numPr>
          <w:ilvl w:val="0"/>
          <w:numId w:val="1"/>
        </w:numPr>
        <w:spacing w:after="80"/>
      </w:pPr>
      <w:r>
        <w:t xml:space="preserve">Any system migration, archive purge or platform change in the relevant period noted, because it silently changes what a search can return.</w:t>
      </w:r>
    </w:p>
    <w:p/>
    <w:p>
      <w:pPr>
        <w:pStyle w:val="Heading2"/>
      </w:pPr>
      <w:r>
        <w:t xml:space="preserve">Phase 8 — Analysis, credibility and findings coverage</w:t>
      </w:r>
    </w:p>
    <w:p>
      <w:pPr>
        <w:spacing w:after="120"/>
      </w:pPr>
      <w:r>
        <w:t xml:space="preserve">[Per allegation: the evidence relied on, any credibility determination with the factors weighed, the finding, and the policy provision engaged]</w:t>
      </w:r>
    </w:p>
    <w:p>
      <w:pPr>
        <w:pStyle w:val="ListParagraph"/>
        <w:numPr>
          <w:ilvl w:val="0"/>
          <w:numId w:val="1"/>
        </w:numPr>
        <w:spacing w:after="80"/>
      </w:pPr>
      <w:r>
        <w:t xml:space="preserve">Standard of proof stated explicitly in the analysis, not assumed.</w:t>
      </w:r>
    </w:p>
    <w:p>
      <w:pPr>
        <w:pStyle w:val="ListParagraph"/>
        <w:numPr>
          <w:ilvl w:val="0"/>
          <w:numId w:val="1"/>
        </w:numPr>
        <w:spacing w:after="80"/>
      </w:pPr>
      <w:r>
        <w:t xml:space="preserve">Credibility grounded in plausibility, corroboration, internal consistency, consistency with contemporaneous records and motive, with demeanor used cautiously and never alone.</w:t>
      </w:r>
    </w:p>
    <w:p>
      <w:pPr>
        <w:pStyle w:val="ListParagraph"/>
        <w:numPr>
          <w:ilvl w:val="0"/>
          <w:numId w:val="1"/>
        </w:numPr>
        <w:spacing w:after="80"/>
      </w:pPr>
      <w:r>
        <w:t xml:space="preserve">Inconclusive used where the evidence genuinely does not permit a determination, and stated as such rather than avoided.</w:t>
      </w:r>
    </w:p>
    <w:p>
      <w:pPr>
        <w:pStyle w:val="ListParagraph"/>
        <w:numPr>
          <w:ilvl w:val="0"/>
          <w:numId w:val="1"/>
        </w:numPr>
        <w:spacing w:after="80"/>
      </w:pPr>
      <w:r>
        <w:t xml:space="preserve">Allegation matrix reconciled: every numbered allegation carries a finding, with none orphaned.</w:t>
      </w:r>
    </w:p>
    <w:p>
      <w:pPr>
        <w:pStyle w:val="ListParagraph"/>
        <w:numPr>
          <w:ilvl w:val="0"/>
          <w:numId w:val="1"/>
        </w:numPr>
        <w:spacing w:after="80"/>
      </w:pPr>
      <w:r>
        <w:t xml:space="preserve">Matters surfaced but outside scope noted and handed back rather than investigated uninstructed.</w:t>
      </w:r>
    </w:p>
    <w:p/>
    <w:p>
      <w:pPr>
        <w:pStyle w:val="Heading2"/>
      </w:pPr>
      <w:r>
        <w:t xml:space="preserve">Phase 9 — Report and quality-control review</w:t>
      </w:r>
    </w:p>
    <w:p>
      <w:pPr>
        <w:spacing w:after="120"/>
      </w:pPr>
      <w:r>
        <w:t xml:space="preserve">Draft completed: [ ______________________ ]</w:t>
      </w:r>
    </w:p>
    <w:p>
      <w:pPr>
        <w:spacing w:after="120"/>
      </w:pPr>
      <w:r>
        <w:t xml:space="preserve">Reviewed by: [Name — not involved in the fact-finding]</w:t>
      </w:r>
    </w:p>
    <w:p>
      <w:pPr>
        <w:spacing w:after="120"/>
      </w:pPr>
      <w:r>
        <w:t xml:space="preserve">Changes made in review: [What, and why — the review is worthless if it leaves no trace]</w:t>
      </w:r>
    </w:p>
    <w:p>
      <w:pPr>
        <w:spacing w:after="120"/>
      </w:pPr>
      <w:r>
        <w:t xml:space="preserve">Final report issued: [ ______________________ ]</w:t>
      </w:r>
    </w:p>
    <w:p>
      <w:pPr>
        <w:spacing w:after="120"/>
      </w:pPr>
      <w:r>
        <w:t xml:space="preserve">Appendices indexed and numbered: [ ______________________ ]</w:t>
      </w:r>
    </w:p>
    <w:p>
      <w:pPr>
        <w:spacing w:after="120"/>
      </w:pPr>
      <w:r>
        <w:t xml:space="preserve">[Report issued date, reviewer, review date, and the changes made in review]</w:t>
      </w:r>
    </w:p>
    <w:p>
      <w:pPr>
        <w:pStyle w:val="ListParagraph"/>
        <w:numPr>
          <w:ilvl w:val="0"/>
          <w:numId w:val="1"/>
        </w:numPr>
        <w:spacing w:after="80"/>
      </w:pPr>
      <w:r>
        <w:t xml:space="preserve">Executive summary written last and checked against the body for reasoning that appears only in the summary.</w:t>
      </w:r>
    </w:p>
    <w:p>
      <w:pPr>
        <w:pStyle w:val="ListParagraph"/>
        <w:numPr>
          <w:ilvl w:val="0"/>
          <w:numId w:val="1"/>
        </w:numPr>
        <w:spacing w:after="80"/>
      </w:pPr>
      <w:r>
        <w:t xml:space="preserve">Every date in the report checked against the interview and evidence logs.</w:t>
      </w:r>
    </w:p>
    <w:p>
      <w:pPr>
        <w:pStyle w:val="ListParagraph"/>
        <w:numPr>
          <w:ilvl w:val="0"/>
          <w:numId w:val="1"/>
        </w:numPr>
        <w:spacing w:after="80"/>
      </w:pPr>
      <w:r>
        <w:t xml:space="preserve">Names, titles and the matter reference consistent throughout.</w:t>
      </w:r>
    </w:p>
    <w:p>
      <w:pPr>
        <w:pStyle w:val="ListParagraph"/>
        <w:numPr>
          <w:ilvl w:val="0"/>
          <w:numId w:val="1"/>
        </w:numPr>
        <w:spacing w:after="80"/>
      </w:pPr>
      <w:r>
        <w:t xml:space="preserve">Report states what it does not do — ordinarily no legal determination and no disciplinary recommendation.</w:t>
      </w:r>
    </w:p>
    <w:p/>
    <w:p>
      <w:pPr>
        <w:pStyle w:val="Heading2"/>
      </w:pPr>
      <w:r>
        <w:t xml:space="preserve">Phase 10 — Outcome communication and remedial action</w:t>
      </w:r>
    </w:p>
    <w:p>
      <w:pPr>
        <w:spacing w:after="120"/>
      </w:pPr>
      <w:r>
        <w:t xml:space="preserve">Outcome letter to complainant: [Date, level of detail]</w:t>
      </w:r>
    </w:p>
    <w:p>
      <w:pPr>
        <w:spacing w:after="120"/>
      </w:pPr>
      <w:r>
        <w:t xml:space="preserve">Outcome letter to respondent: [Date, findings conveyed, appeal rights and deadline]</w:t>
      </w:r>
    </w:p>
    <w:p>
      <w:pPr>
        <w:spacing w:after="120"/>
      </w:pPr>
      <w:r>
        <w:t xml:space="preserve">Decision-maker's determination on discipline: [Date — separate from the report]</w:t>
      </w:r>
    </w:p>
    <w:p>
      <w:pPr>
        <w:spacing w:after="120"/>
      </w:pPr>
      <w:r>
        <w:t xml:space="preserve">Matters recorded as outside scope: [Each one, with a named owner and a due date]</w:t>
      </w:r>
    </w:p>
    <w:p>
      <w:pPr>
        <w:spacing w:after="120"/>
      </w:pPr>
      <w:r>
        <w:t xml:space="preserve">Remedial and systemic actions: [Training, policy revision, structural change, with owners and dates]</w:t>
      </w:r>
    </w:p>
    <w:p>
      <w:pPr>
        <w:spacing w:after="120"/>
      </w:pPr>
      <w:r>
        <w:t xml:space="preserve">[What each party was told, when, in what form, appeal rights, and the remedial and systemic actions decided]</w:t>
      </w:r>
    </w:p>
    <w:p>
      <w:pPr>
        <w:pStyle w:val="ListParagraph"/>
        <w:numPr>
          <w:ilvl w:val="0"/>
          <w:numId w:val="1"/>
        </w:numPr>
        <w:spacing w:after="80"/>
      </w:pPr>
      <w:r>
        <w:t xml:space="preserve">Interim measures formally lifted, extended or converted, with a recorded decision either way.</w:t>
      </w:r>
    </w:p>
    <w:p>
      <w:pPr>
        <w:pStyle w:val="ListParagraph"/>
        <w:numPr>
          <w:ilvl w:val="0"/>
          <w:numId w:val="1"/>
        </w:numPr>
        <w:spacing w:after="80"/>
      </w:pPr>
      <w:r>
        <w:t xml:space="preserve">Non-retaliation reminder repeated at closure to the respondent and to anyone with authority over the complainant.</w:t>
      </w:r>
    </w:p>
    <w:p>
      <w:pPr>
        <w:pStyle w:val="ListParagraph"/>
        <w:numPr>
          <w:ilvl w:val="0"/>
          <w:numId w:val="1"/>
        </w:numPr>
        <w:spacing w:after="80"/>
      </w:pPr>
      <w:r>
        <w:t xml:space="preserve">Appeal deadline stated and calendared.</w:t>
      </w:r>
    </w:p>
    <w:p>
      <w:pPr>
        <w:pStyle w:val="ListParagraph"/>
        <w:numPr>
          <w:ilvl w:val="0"/>
          <w:numId w:val="1"/>
        </w:numPr>
        <w:spacing w:after="80"/>
      </w:pPr>
      <w:r>
        <w:t xml:space="preserve">Systemic issues assigned to a named owner rather than left sitting in the report.</w:t>
      </w:r>
    </w:p>
    <w:p/>
    <w:p>
      <w:pPr>
        <w:pStyle w:val="Heading2"/>
      </w:pPr>
      <w:r>
        <w:t xml:space="preserve">Phase 11 — Closure, follow-up and retention</w:t>
      </w:r>
    </w:p>
    <w:p>
      <w:pPr>
        <w:spacing w:after="120"/>
      </w:pPr>
      <w:r>
        <w:t xml:space="preserve">30-day follow-up with complainant: [Date, who made contact, outcome — logged even when the answer is 'fine']</w:t>
      </w:r>
    </w:p>
    <w:p>
      <w:pPr>
        <w:spacing w:after="120"/>
      </w:pPr>
      <w:r>
        <w:t xml:space="preserve">90-day follow-up: [Date, outcome]</w:t>
      </w:r>
    </w:p>
    <w:p>
      <w:pPr>
        <w:spacing w:after="120"/>
      </w:pPr>
      <w:r>
        <w:t xml:space="preserve">File closed: [ ______________________ ]</w:t>
      </w:r>
    </w:p>
    <w:p>
      <w:pPr>
        <w:spacing w:after="120"/>
      </w:pPr>
      <w:r>
        <w:t xml:space="preserve">Retention period applied: [Base period, plus any charge, litigation hold or state requirement]</w:t>
      </w:r>
    </w:p>
    <w:p>
      <w:pPr>
        <w:spacing w:after="120"/>
      </w:pPr>
      <w:r>
        <w:t xml:space="preserve">Preservation hold status: [Still live / released, by whom, on what date, on what basis]</w:t>
      </w:r>
    </w:p>
    <w:p>
      <w:pPr>
        <w:spacing w:after="120"/>
      </w:pPr>
      <w:r>
        <w:t xml:space="preserve">Storage location and access restrictions: [ ______________________ ]</w:t>
      </w:r>
    </w:p>
    <w:p>
      <w:pPr>
        <w:spacing w:after="120"/>
      </w:pPr>
      <w:r>
        <w:t xml:space="preserve">[Follow-up check dates and outcomes; file closed on; retention period applied and the reason; destruction date or hold]</w:t>
      </w:r>
    </w:p>
    <w:p>
      <w:pPr>
        <w:pStyle w:val="ListParagraph"/>
        <w:numPr>
          <w:ilvl w:val="0"/>
          <w:numId w:val="1"/>
        </w:numPr>
        <w:spacing w:after="80"/>
      </w:pPr>
      <w:r>
        <w:t xml:space="preserve">Investigation file separated from the general personnel file, with restricted access.</w:t>
      </w:r>
    </w:p>
    <w:p>
      <w:pPr>
        <w:pStyle w:val="ListParagraph"/>
        <w:numPr>
          <w:ilvl w:val="0"/>
          <w:numId w:val="1"/>
        </w:numPr>
        <w:spacing w:after="80"/>
      </w:pPr>
      <w:r>
        <w:t xml:space="preserve">Follow-up contact routed so that arranging it does not itself disclose the matter to the complainant's line management.</w:t>
      </w:r>
    </w:p>
    <w:p>
      <w:pPr>
        <w:pStyle w:val="ListParagraph"/>
        <w:numPr>
          <w:ilvl w:val="0"/>
          <w:numId w:val="1"/>
        </w:numPr>
        <w:spacing w:after="80"/>
      </w:pPr>
      <w:r>
        <w:t xml:space="preserve">Data-subject and access-request position considered before anything is destroyed.</w:t>
      </w:r>
    </w:p>
    <w:p>
      <w:pPr>
        <w:pStyle w:val="ListParagraph"/>
        <w:numPr>
          <w:ilvl w:val="0"/>
          <w:numId w:val="1"/>
        </w:numPr>
        <w:spacing w:after="80"/>
      </w:pPr>
      <w:r>
        <w:t xml:space="preserve">Related matters retained together — a retaliation file and the matter that generated it are one evidential story and are read as one.</w:t>
      </w:r>
    </w:p>
    <w:p/>
    <w:p>
      <w:pPr>
        <w:pStyle w:val="Heading2"/>
      </w:pPr>
      <w:r>
        <w:t xml:space="preserve">The clock: promptness, acceptable gaps and documenting delay</w:t>
      </w:r>
    </w:p>
    <w:p>
      <w:pPr>
        <w:spacing w:after="120"/>
      </w:pPr>
      <w:r>
        <w:t xml:space="preserve">Clock start: [Date of first notice to the organization, and how it was established]</w:t>
      </w:r>
    </w:p>
    <w:p>
      <w:pPr>
        <w:spacing w:after="120"/>
      </w:pPr>
      <w:r>
        <w:t xml:space="preserve">Pre-complaint period: [First notice to written complaint: elapsed time, and what the organization did in it]</w:t>
      </w:r>
    </w:p>
    <w:p>
      <w:pPr>
        <w:spacing w:after="120"/>
      </w:pPr>
      <w:r>
        <w:t xml:space="preserve">Target report date and any revisions: [Each revision with its reason]</w:t>
      </w:r>
    </w:p>
    <w:p>
      <w:pPr>
        <w:spacing w:after="120"/>
      </w:pPr>
      <w:r>
        <w:t xml:space="preserve">Gaps over five working days: [One row each: dates, cause, who decided, work that continued, complainant informed on]</w:t>
      </w:r>
    </w:p>
    <w:p>
      <w:pPr>
        <w:spacing w:after="120"/>
      </w:pPr>
      <w:r>
        <w:t xml:space="preserve">Total elapsed: [From first notice and, separately, from the written complaint — state which is which]</w:t>
      </w:r>
    </w:p>
    <w:p>
      <w:pPr>
        <w:spacing w:after="120"/>
      </w:pPr>
      <w:r>
        <w:t xml:space="preserve">[For each gap over five working days: start and end date, the cause, the decision-maker, what work continued during it, the revised target date, and the date the complainant was told]</w:t>
      </w:r>
    </w:p>
    <w:p>
      <w:pPr>
        <w:pStyle w:val="ListParagraph"/>
        <w:numPr>
          <w:ilvl w:val="0"/>
          <w:numId w:val="1"/>
        </w:numPr>
        <w:spacing w:after="80"/>
      </w:pPr>
      <w:r>
        <w:t xml:space="preserve">Complainant updated at every revision of the target date, with the date of the update recorded.</w:t>
      </w:r>
    </w:p>
    <w:p>
      <w:pPr>
        <w:pStyle w:val="ListParagraph"/>
        <w:numPr>
          <w:ilvl w:val="0"/>
          <w:numId w:val="1"/>
        </w:numPr>
        <w:spacing w:after="80"/>
      </w:pPr>
      <w:r>
        <w:t xml:space="preserve">Work that continued during a delay recorded — a pause on one witness is not a pause on the investigation.</w:t>
      </w:r>
    </w:p>
    <w:p>
      <w:pPr>
        <w:pStyle w:val="ListParagraph"/>
        <w:numPr>
          <w:ilvl w:val="0"/>
          <w:numId w:val="1"/>
        </w:numPr>
        <w:spacing w:after="80"/>
      </w:pPr>
      <w:r>
        <w:t xml:space="preserve">Interim measures reviewed at each delay, since a longer investigation means a longer restriction on someone.</w:t>
      </w:r>
    </w:p>
    <w:p>
      <w:pPr>
        <w:pStyle w:val="ListParagraph"/>
        <w:numPr>
          <w:ilvl w:val="0"/>
          <w:numId w:val="1"/>
        </w:numPr>
        <w:spacing w:after="80"/>
      </w:pPr>
      <w:r>
        <w:t xml:space="preserve">Where an EEOC charge or state FEP filing is in play, note the filing deadlines running in parallel: they are not the investigation's deadline but they change what the file has to survive.</w:t>
      </w:r>
    </w:p>
    <w:p/>
    <w:p>
      <w:pPr>
        <w:pStyle w:val="Heading2"/>
      </w:pPr>
      <w:r>
        <w:t xml:space="preserve">Disruption protocols: when the investigation is interrupted</w:t>
      </w:r>
    </w:p>
    <w:p>
      <w:pPr>
        <w:spacing w:after="120"/>
      </w:pPr>
      <w:r>
        <w:t xml:space="preserve">Disruption type and date: [ ______________________ ]</w:t>
      </w:r>
    </w:p>
    <w:p>
      <w:pPr>
        <w:spacing w:after="120"/>
      </w:pPr>
      <w:r>
        <w:t xml:space="preserve">Decision and decision-maker: [Proceed / partial hold / separate matter / close — with the reason]</w:t>
      </w:r>
    </w:p>
    <w:p>
      <w:pPr>
        <w:spacing w:after="120"/>
      </w:pPr>
      <w:r>
        <w:t xml:space="preserve">Scope of any hold: [Exactly what is paused; everything else continues]</w:t>
      </w:r>
    </w:p>
    <w:p>
      <w:pPr>
        <w:spacing w:after="120"/>
      </w:pPr>
      <w:r>
        <w:t xml:space="preserve">New matter reference, if opened: [And who investigates it, with the reason if the existing investigator is excluded]</w:t>
      </w:r>
    </w:p>
    <w:p>
      <w:pPr>
        <w:spacing w:after="120"/>
      </w:pPr>
      <w:r>
        <w:t xml:space="preserve">Advice relied on: [Counsel, occupational health, law enforcement liaison — with date]</w:t>
      </w:r>
    </w:p>
    <w:p>
      <w:pPr>
        <w:spacing w:after="120"/>
      </w:pPr>
      <w:r>
        <w:t xml:space="preserve">Parties informed on: [ ______________________ ]</w:t>
      </w:r>
    </w:p>
    <w:p>
      <w:pPr>
        <w:spacing w:after="120"/>
      </w:pPr>
      <w:r>
        <w:t xml:space="preserve">[The disruption, its date, the decision taken and by whom, what continued and what was held, the advice relied on, and how each party was informed]</w:t>
      </w:r>
    </w:p>
    <w:p>
      <w:pPr>
        <w:pStyle w:val="ListParagraph"/>
        <w:numPr>
          <w:ilvl w:val="0"/>
          <w:numId w:val="1"/>
        </w:numPr>
        <w:spacing w:after="80"/>
      </w:pPr>
      <w:r>
        <w:t xml:space="preserve">Former respondent invited to participate, with the invitation and any refusal recorded in writing.</w:t>
      </w:r>
    </w:p>
    <w:p>
      <w:pPr>
        <w:pStyle w:val="ListParagraph"/>
        <w:numPr>
          <w:ilvl w:val="0"/>
          <w:numId w:val="1"/>
        </w:numPr>
        <w:spacing w:after="80"/>
      </w:pPr>
      <w:r>
        <w:t xml:space="preserve">Withdrawal reason recorded and checked for any sign of pressure or detriment.</w:t>
      </w:r>
    </w:p>
    <w:p>
      <w:pPr>
        <w:pStyle w:val="ListParagraph"/>
        <w:numPr>
          <w:ilvl w:val="0"/>
          <w:numId w:val="1"/>
        </w:numPr>
        <w:spacing w:after="80"/>
      </w:pPr>
      <w:r>
        <w:t xml:space="preserve">Interim measures reassessed at every disruption — a hold that extends the timeline extends the restriction.</w:t>
      </w:r>
    </w:p>
    <w:p>
      <w:pPr>
        <w:pStyle w:val="ListParagraph"/>
        <w:numPr>
          <w:ilvl w:val="0"/>
          <w:numId w:val="1"/>
        </w:numPr>
        <w:spacing w:after="80"/>
      </w:pPr>
      <w:r>
        <w:t xml:space="preserve">Where a witness alleges detriment, check whether their evidence was fixed and signed before the alleged detriment occurred; the answer decides whether their account is contaminated.</w:t>
      </w:r>
    </w:p>
    <w:p>
      <w:pPr>
        <w:pStyle w:val="ListParagraph"/>
        <w:numPr>
          <w:ilvl w:val="0"/>
          <w:numId w:val="1"/>
        </w:numPr>
        <w:spacing w:after="80"/>
      </w:pPr>
      <w:r>
        <w:t xml:space="preserve">Findings written on the available evidence, stating explicitly what could not be tested and why.</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Investigation Checklist: Phases, Clock and Disruptions</dc:title>
  <dc:creator>Workplace Investigation Library</dc:creator>
  <dc:description>A phase-by-phase workplace investigation checklist with the promptness clock, the five-day gap rule, and protocols for when the process is interrupted.</dc:description>
  <cp:lastModifiedBy>Un-named</cp:lastModifiedBy>
  <cp:revision>1</cp:revision>
  <dcterms:created xsi:type="dcterms:W3CDTF">2026-07-31T16:19:16.142Z</dcterms:created>
  <dcterms:modified xsi:type="dcterms:W3CDTF">2026-07-31T16:19:16.142Z</dcterms:modified>
</cp:coreProperties>
</file>

<file path=docProps/custom.xml><?xml version="1.0" encoding="utf-8"?>
<Properties xmlns="http://schemas.openxmlformats.org/officeDocument/2006/custom-properties" xmlns:vt="http://schemas.openxmlformats.org/officeDocument/2006/docPropsVTypes"/>
</file>